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8158" w14:textId="11372D5C" w:rsidR="00FF1180" w:rsidRPr="005F6067" w:rsidRDefault="00227D34" w:rsidP="000454BA">
      <w:pPr>
        <w:spacing w:line="500" w:lineRule="exact"/>
        <w:jc w:val="center"/>
        <w:rPr>
          <w:rFonts w:asciiTheme="minorEastAsia" w:eastAsiaTheme="minorEastAsia" w:hAnsiTheme="minorEastAsia"/>
        </w:rPr>
      </w:pPr>
      <w:r w:rsidRPr="005F6067">
        <w:rPr>
          <w:rFonts w:asciiTheme="minorEastAsia" w:eastAsiaTheme="minorEastAsia" w:hAnsiTheme="minorEastAsia"/>
          <w:b/>
        </w:rPr>
        <w:t xml:space="preserve">臺中市私立弘文高中  </w:t>
      </w:r>
      <w:r w:rsidR="00AA5E77" w:rsidRPr="005F6067">
        <w:rPr>
          <w:rFonts w:asciiTheme="minorEastAsia" w:eastAsiaTheme="minorEastAsia" w:hAnsiTheme="minorEastAsia" w:hint="eastAsia"/>
          <w:b/>
        </w:rPr>
        <w:t>1</w:t>
      </w:r>
      <w:r w:rsidR="00E842D1" w:rsidRPr="005F6067">
        <w:rPr>
          <w:rFonts w:asciiTheme="minorEastAsia" w:eastAsiaTheme="minorEastAsia" w:hAnsiTheme="minorEastAsia"/>
          <w:b/>
        </w:rPr>
        <w:t>1</w:t>
      </w:r>
      <w:r w:rsidR="001334C9">
        <w:rPr>
          <w:rFonts w:asciiTheme="minorEastAsia" w:eastAsiaTheme="minorEastAsia" w:hAnsiTheme="minorEastAsia" w:hint="eastAsia"/>
          <w:b/>
        </w:rPr>
        <w:t>3</w:t>
      </w:r>
      <w:r w:rsidR="00B53CCC" w:rsidRPr="005F6067">
        <w:rPr>
          <w:rFonts w:asciiTheme="minorEastAsia" w:eastAsiaTheme="minorEastAsia" w:hAnsiTheme="minorEastAsia"/>
          <w:b/>
        </w:rPr>
        <w:t xml:space="preserve"> </w:t>
      </w:r>
      <w:r w:rsidRPr="005F6067">
        <w:rPr>
          <w:rFonts w:asciiTheme="minorEastAsia" w:eastAsiaTheme="minorEastAsia" w:hAnsiTheme="minorEastAsia" w:hint="eastAsia"/>
          <w:b/>
        </w:rPr>
        <w:t>學</w:t>
      </w:r>
      <w:r w:rsidRPr="005F6067">
        <w:rPr>
          <w:rFonts w:asciiTheme="minorEastAsia" w:eastAsiaTheme="minorEastAsia" w:hAnsiTheme="minorEastAsia"/>
          <w:b/>
        </w:rPr>
        <w:t>年度</w:t>
      </w:r>
      <w:r w:rsidRPr="005F6067">
        <w:rPr>
          <w:rFonts w:asciiTheme="minorEastAsia" w:eastAsiaTheme="minorEastAsia" w:hAnsiTheme="minorEastAsia"/>
          <w:b/>
          <w:shd w:val="clear" w:color="auto" w:fill="FFFFFF"/>
        </w:rPr>
        <w:t>議題融入課程之規劃</w:t>
      </w:r>
    </w:p>
    <w:p w14:paraId="0F4AC684" w14:textId="77777777" w:rsidR="00820F11" w:rsidRPr="005F6067" w:rsidRDefault="001A154A" w:rsidP="00820F11">
      <w:pPr>
        <w:spacing w:line="500" w:lineRule="exact"/>
        <w:jc w:val="center"/>
        <w:rPr>
          <w:rFonts w:asciiTheme="minorEastAsia" w:eastAsiaTheme="minorEastAsia" w:hAnsiTheme="minorEastAsia"/>
          <w:b/>
        </w:rPr>
      </w:pPr>
      <w:r w:rsidRPr="005F6067">
        <w:rPr>
          <w:rFonts w:asciiTheme="minorEastAsia" w:eastAsiaTheme="minorEastAsia" w:hAnsiTheme="minorEastAsia" w:hint="eastAsia"/>
          <w:b/>
        </w:rPr>
        <w:t>國文</w:t>
      </w:r>
      <w:r w:rsidR="00227D34" w:rsidRPr="005F6067">
        <w:rPr>
          <w:rFonts w:asciiTheme="minorEastAsia" w:eastAsiaTheme="minorEastAsia" w:hAnsiTheme="minorEastAsia"/>
          <w:b/>
        </w:rPr>
        <w:t>科教學單元活動設計表</w:t>
      </w:r>
    </w:p>
    <w:p w14:paraId="42AE7C9C" w14:textId="4B530FA5" w:rsidR="00FF1180" w:rsidRPr="005F6067" w:rsidRDefault="00AA5E77" w:rsidP="000454BA">
      <w:pPr>
        <w:wordWrap w:val="0"/>
        <w:spacing w:line="500" w:lineRule="exact"/>
        <w:jc w:val="right"/>
        <w:rPr>
          <w:rFonts w:asciiTheme="minorEastAsia" w:eastAsiaTheme="minorEastAsia" w:hAnsiTheme="minorEastAsia"/>
        </w:rPr>
      </w:pPr>
      <w:r w:rsidRPr="005F6067">
        <w:rPr>
          <w:rFonts w:asciiTheme="minorEastAsia" w:eastAsiaTheme="minorEastAsia" w:hAnsiTheme="minorEastAsia" w:hint="eastAsia"/>
        </w:rPr>
        <w:t>1</w:t>
      </w:r>
      <w:r w:rsidR="000454BA" w:rsidRPr="005F6067">
        <w:rPr>
          <w:rFonts w:asciiTheme="minorEastAsia" w:eastAsiaTheme="minorEastAsia" w:hAnsiTheme="minorEastAsia" w:hint="eastAsia"/>
        </w:rPr>
        <w:t>1</w:t>
      </w:r>
      <w:r w:rsidR="00A61813">
        <w:rPr>
          <w:rFonts w:asciiTheme="minorEastAsia" w:eastAsiaTheme="minorEastAsia" w:hAnsiTheme="minorEastAsia" w:hint="eastAsia"/>
        </w:rPr>
        <w:t>4</w:t>
      </w:r>
      <w:r w:rsidR="00227D34" w:rsidRPr="005F6067">
        <w:rPr>
          <w:rFonts w:asciiTheme="minorEastAsia" w:eastAsiaTheme="minorEastAsia" w:hAnsiTheme="minorEastAsia"/>
        </w:rPr>
        <w:t>年</w:t>
      </w:r>
      <w:r w:rsidR="00A61813">
        <w:rPr>
          <w:rFonts w:asciiTheme="minorEastAsia" w:eastAsiaTheme="minorEastAsia" w:hAnsiTheme="minorEastAsia" w:hint="eastAsia"/>
        </w:rPr>
        <w:t>6</w:t>
      </w:r>
      <w:r w:rsidR="00227D34" w:rsidRPr="005F6067">
        <w:rPr>
          <w:rFonts w:asciiTheme="minorEastAsia" w:eastAsiaTheme="minorEastAsia" w:hAnsiTheme="minorEastAsia"/>
        </w:rPr>
        <w:t>月</w:t>
      </w:r>
      <w:r w:rsidR="00A61813">
        <w:rPr>
          <w:rFonts w:asciiTheme="minorEastAsia" w:eastAsiaTheme="minorEastAsia" w:hAnsiTheme="minorEastAsia" w:hint="eastAsia"/>
        </w:rPr>
        <w:t>9</w:t>
      </w:r>
      <w:r w:rsidR="00227D34" w:rsidRPr="005F6067">
        <w:rPr>
          <w:rFonts w:asciiTheme="minorEastAsia" w:eastAsiaTheme="minorEastAsia" w:hAnsiTheme="minorEastAsia" w:hint="eastAsia"/>
        </w:rPr>
        <w:t>日</w:t>
      </w:r>
    </w:p>
    <w:tbl>
      <w:tblPr>
        <w:tblStyle w:val="af"/>
        <w:tblW w:w="9927" w:type="dxa"/>
        <w:tblLayout w:type="fixed"/>
        <w:tblLook w:val="04A0" w:firstRow="1" w:lastRow="0" w:firstColumn="1" w:lastColumn="0" w:noHBand="0" w:noVBand="1"/>
      </w:tblPr>
      <w:tblGrid>
        <w:gridCol w:w="1820"/>
        <w:gridCol w:w="5049"/>
        <w:gridCol w:w="644"/>
        <w:gridCol w:w="686"/>
        <w:gridCol w:w="331"/>
        <w:gridCol w:w="1388"/>
        <w:gridCol w:w="9"/>
      </w:tblGrid>
      <w:tr w:rsidR="00820F11" w:rsidRPr="009F15FA" w14:paraId="676ADB87" w14:textId="77777777" w:rsidTr="00431D42">
        <w:tc>
          <w:tcPr>
            <w:tcW w:w="1820" w:type="dxa"/>
          </w:tcPr>
          <w:p w14:paraId="3AEF5187" w14:textId="77777777" w:rsidR="00820F11" w:rsidRPr="005F6067" w:rsidRDefault="00820F11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position w:val="-1"/>
              </w:rPr>
            </w:pPr>
            <w:r w:rsidRPr="005F6067">
              <w:rPr>
                <w:rFonts w:asciiTheme="minorEastAsia" w:eastAsiaTheme="minorEastAsia" w:hAnsiTheme="minorEastAsia" w:cs="Adobe 仿宋 Std R"/>
                <w:position w:val="-1"/>
              </w:rPr>
              <w:t>融入議題</w:t>
            </w:r>
          </w:p>
        </w:tc>
        <w:tc>
          <w:tcPr>
            <w:tcW w:w="8107" w:type="dxa"/>
            <w:gridSpan w:val="6"/>
          </w:tcPr>
          <w:p w14:paraId="0A176E41" w14:textId="7BB07885" w:rsidR="00820F11" w:rsidRPr="005F6067" w:rsidRDefault="00820F11">
            <w:pPr>
              <w:jc w:val="both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/>
              </w:rPr>
              <w:t xml:space="preserve">□生涯規劃  </w:t>
            </w:r>
            <w:r w:rsidR="00A61813">
              <w:rPr>
                <w:rFonts w:asciiTheme="minorEastAsia" w:eastAsiaTheme="minorEastAsia" w:hAnsiTheme="minorEastAsia" w:hint="eastAsia"/>
              </w:rPr>
              <w:t>□</w:t>
            </w:r>
            <w:r w:rsidRPr="005F6067">
              <w:rPr>
                <w:rFonts w:asciiTheme="minorEastAsia" w:eastAsiaTheme="minorEastAsia" w:hAnsiTheme="minorEastAsia"/>
              </w:rPr>
              <w:t>生命教育  □法治教育  □人權教育  □性別平等</w:t>
            </w:r>
          </w:p>
          <w:p w14:paraId="3FED6EA8" w14:textId="77777777" w:rsidR="00820F11" w:rsidRPr="005F6067" w:rsidRDefault="00820F11">
            <w:pPr>
              <w:jc w:val="both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/>
              </w:rPr>
              <w:t>□海洋教育  □環境教育  □能源發展  □多元文化  □原住民族教育</w:t>
            </w:r>
          </w:p>
          <w:p w14:paraId="12BB01F8" w14:textId="54004AF4" w:rsidR="00820F11" w:rsidRPr="005F6067" w:rsidRDefault="00820F11">
            <w:pPr>
              <w:jc w:val="both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/>
              </w:rPr>
              <w:t xml:space="preserve">□國際教育  □家庭教育  □防災教育  </w:t>
            </w:r>
            <w:r w:rsidR="00915041" w:rsidRPr="005F6067">
              <w:rPr>
                <w:rFonts w:asciiTheme="minorEastAsia" w:eastAsiaTheme="minorEastAsia" w:hAnsiTheme="minorEastAsia"/>
              </w:rPr>
              <w:t>□</w:t>
            </w:r>
            <w:r w:rsidRPr="005F6067">
              <w:rPr>
                <w:rFonts w:asciiTheme="minorEastAsia" w:eastAsiaTheme="minorEastAsia" w:hAnsiTheme="minorEastAsia"/>
              </w:rPr>
              <w:t>品德教育  □戶外教育</w:t>
            </w:r>
          </w:p>
          <w:p w14:paraId="2B473FE4" w14:textId="6CF48573" w:rsidR="00820F11" w:rsidRPr="005F6067" w:rsidRDefault="00820F11">
            <w:pPr>
              <w:jc w:val="both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/>
              </w:rPr>
              <w:t xml:space="preserve">□安全教育  □科技教育  □資訊教育  </w:t>
            </w:r>
            <w:r w:rsidR="00A61813" w:rsidRPr="005F6067">
              <w:rPr>
                <w:rFonts w:asciiTheme="minorEastAsia" w:eastAsiaTheme="minorEastAsia" w:hAnsiTheme="minorEastAsia"/>
                <w:highlight w:val="black"/>
                <w:shd w:val="pct15" w:color="auto" w:fill="FFFFFF"/>
              </w:rPr>
              <w:t>□</w:t>
            </w:r>
            <w:r w:rsidRPr="005F6067">
              <w:rPr>
                <w:rFonts w:asciiTheme="minorEastAsia" w:eastAsiaTheme="minorEastAsia" w:hAnsiTheme="minorEastAsia"/>
              </w:rPr>
              <w:t xml:space="preserve">閱讀素養  </w:t>
            </w:r>
          </w:p>
        </w:tc>
      </w:tr>
      <w:tr w:rsidR="00FF1180" w:rsidRPr="009F15FA" w14:paraId="3FE79918" w14:textId="77777777" w:rsidTr="00431D42">
        <w:tc>
          <w:tcPr>
            <w:tcW w:w="1820" w:type="dxa"/>
          </w:tcPr>
          <w:p w14:paraId="0974B1BF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 w:cs="Adobe 仿宋 Std R"/>
                <w:position w:val="-1"/>
              </w:rPr>
              <w:t>編撰教師</w:t>
            </w:r>
          </w:p>
        </w:tc>
        <w:tc>
          <w:tcPr>
            <w:tcW w:w="8107" w:type="dxa"/>
            <w:gridSpan w:val="6"/>
          </w:tcPr>
          <w:p w14:paraId="5CD3AED9" w14:textId="317BBD5F" w:rsidR="00FF1180" w:rsidRPr="005F6067" w:rsidRDefault="00915041">
            <w:pPr>
              <w:jc w:val="both"/>
              <w:rPr>
                <w:rFonts w:asciiTheme="minorEastAsia" w:eastAsiaTheme="minorEastAsia" w:hAnsiTheme="minorEastAsia" w:cs="Beirut"/>
              </w:rPr>
            </w:pPr>
            <w:r>
              <w:rPr>
                <w:rFonts w:asciiTheme="minorEastAsia" w:eastAsiaTheme="minorEastAsia" w:hAnsiTheme="minorEastAsia" w:cs="Beirut" w:hint="eastAsia"/>
              </w:rPr>
              <w:t>胡佳慧</w:t>
            </w:r>
          </w:p>
        </w:tc>
      </w:tr>
      <w:tr w:rsidR="00FF1180" w:rsidRPr="009F15FA" w14:paraId="5E33FEEC" w14:textId="77777777" w:rsidTr="00431D42">
        <w:tc>
          <w:tcPr>
            <w:tcW w:w="1820" w:type="dxa"/>
          </w:tcPr>
          <w:p w14:paraId="32E8F487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  <w:position w:val="-1"/>
              </w:rPr>
              <w:t>主題名稱</w:t>
            </w:r>
          </w:p>
        </w:tc>
        <w:tc>
          <w:tcPr>
            <w:tcW w:w="8107" w:type="dxa"/>
            <w:gridSpan w:val="6"/>
          </w:tcPr>
          <w:p w14:paraId="2DF9AB79" w14:textId="57E62216" w:rsidR="00FF1180" w:rsidRPr="005F6067" w:rsidRDefault="00A61813" w:rsidP="00011C0D">
            <w:pPr>
              <w:tabs>
                <w:tab w:val="left" w:pos="1027"/>
              </w:tabs>
              <w:jc w:val="both"/>
              <w:rPr>
                <w:rFonts w:asciiTheme="minorEastAsia" w:eastAsiaTheme="minorEastAsia" w:hAnsiTheme="minorEastAsia" w:cs="Beirut"/>
                <w:color w:val="000000"/>
              </w:rPr>
            </w:pPr>
            <w:r>
              <w:rPr>
                <w:rFonts w:asciiTheme="minorEastAsia" w:eastAsiaTheme="minorEastAsia" w:hAnsiTheme="minorEastAsia" w:cs="Beirut" w:hint="eastAsia"/>
                <w:color w:val="000000"/>
              </w:rPr>
              <w:t>空城計</w:t>
            </w:r>
          </w:p>
        </w:tc>
      </w:tr>
      <w:tr w:rsidR="00FF1180" w:rsidRPr="009F15FA" w14:paraId="2555690E" w14:textId="77777777" w:rsidTr="00431D42">
        <w:tc>
          <w:tcPr>
            <w:tcW w:w="1820" w:type="dxa"/>
          </w:tcPr>
          <w:p w14:paraId="0BC785E5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 w:cs="Adobe 仿宋 Std R"/>
                <w:position w:val="-1"/>
              </w:rPr>
              <w:t>學科領域</w:t>
            </w:r>
          </w:p>
        </w:tc>
        <w:tc>
          <w:tcPr>
            <w:tcW w:w="5049" w:type="dxa"/>
          </w:tcPr>
          <w:p w14:paraId="006853B9" w14:textId="77777777" w:rsidR="00FF1180" w:rsidRPr="005F6067" w:rsidRDefault="001A154A">
            <w:pPr>
              <w:jc w:val="both"/>
              <w:rPr>
                <w:rFonts w:asciiTheme="minorEastAsia" w:eastAsiaTheme="minorEastAsia" w:hAnsiTheme="minorEastAsia" w:cs="Beirut"/>
              </w:rPr>
            </w:pPr>
            <w:r w:rsidRPr="005F6067">
              <w:rPr>
                <w:rFonts w:asciiTheme="minorEastAsia" w:eastAsiaTheme="minorEastAsia" w:hAnsiTheme="minorEastAsia" w:cs="Beirut" w:hint="cs"/>
              </w:rPr>
              <w:t>國文科</w:t>
            </w:r>
          </w:p>
        </w:tc>
        <w:tc>
          <w:tcPr>
            <w:tcW w:w="1330" w:type="dxa"/>
            <w:gridSpan w:val="2"/>
          </w:tcPr>
          <w:p w14:paraId="3D609628" w14:textId="77777777" w:rsidR="00FF1180" w:rsidRPr="005F6067" w:rsidRDefault="00227D34">
            <w:pPr>
              <w:tabs>
                <w:tab w:val="left" w:pos="500"/>
                <w:tab w:val="left" w:pos="1000"/>
                <w:tab w:val="left" w:pos="1500"/>
              </w:tabs>
              <w:ind w:left="6" w:right="-74"/>
              <w:jc w:val="center"/>
              <w:rPr>
                <w:rFonts w:asciiTheme="minorEastAsia" w:eastAsiaTheme="minorEastAsia" w:hAnsiTheme="minorEastAsia" w:cs="Beirut"/>
              </w:rPr>
            </w:pPr>
            <w:r w:rsidRPr="005F6067">
              <w:rPr>
                <w:rFonts w:asciiTheme="minorEastAsia" w:eastAsiaTheme="minorEastAsia" w:hAnsiTheme="minorEastAsia" w:cs="Beirut" w:hint="cs"/>
                <w:position w:val="-1"/>
              </w:rPr>
              <w:t>教學對象</w:t>
            </w:r>
          </w:p>
        </w:tc>
        <w:tc>
          <w:tcPr>
            <w:tcW w:w="1728" w:type="dxa"/>
            <w:gridSpan w:val="3"/>
          </w:tcPr>
          <w:p w14:paraId="3D6D4DFB" w14:textId="046BAEC8" w:rsidR="00FF1180" w:rsidRPr="005F6067" w:rsidRDefault="00A61813" w:rsidP="00227D34">
            <w:pPr>
              <w:rPr>
                <w:rFonts w:asciiTheme="minorEastAsia" w:eastAsiaTheme="minorEastAsia" w:hAnsiTheme="minorEastAsia" w:cs="Beirut"/>
              </w:rPr>
            </w:pPr>
            <w:r>
              <w:rPr>
                <w:rFonts w:asciiTheme="minorEastAsia" w:eastAsiaTheme="minorEastAsia" w:hAnsiTheme="minorEastAsia" w:cs="Beirut" w:hint="eastAsia"/>
              </w:rPr>
              <w:t>八</w:t>
            </w:r>
            <w:r w:rsidR="001A154A" w:rsidRPr="005F6067">
              <w:rPr>
                <w:rFonts w:asciiTheme="minorEastAsia" w:eastAsiaTheme="minorEastAsia" w:hAnsiTheme="minorEastAsia" w:cs="Beirut" w:hint="cs"/>
              </w:rPr>
              <w:t>年級</w:t>
            </w:r>
          </w:p>
        </w:tc>
      </w:tr>
      <w:tr w:rsidR="00FF1180" w:rsidRPr="009F15FA" w14:paraId="2678F048" w14:textId="77777777" w:rsidTr="00431D42">
        <w:tc>
          <w:tcPr>
            <w:tcW w:w="1820" w:type="dxa"/>
          </w:tcPr>
          <w:p w14:paraId="58AC13E1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設計理念</w:t>
            </w:r>
          </w:p>
        </w:tc>
        <w:tc>
          <w:tcPr>
            <w:tcW w:w="8107" w:type="dxa"/>
            <w:gridSpan w:val="6"/>
          </w:tcPr>
          <w:p w14:paraId="3A95F8DC" w14:textId="462EAE29" w:rsidR="00FF1180" w:rsidRPr="003E7F22" w:rsidRDefault="003E7F22" w:rsidP="003E7F22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Theme="minorEastAsia" w:eastAsiaTheme="minorEastAsia" w:hAnsiTheme="minorEastAsia" w:cs="Arial" w:hint="eastAsia"/>
                <w:color w:val="000000" w:themeColor="text1"/>
              </w:rPr>
            </w:pPr>
            <w:r w:rsidRPr="003E7F22">
              <w:rPr>
                <w:rFonts w:asciiTheme="minorEastAsia" w:eastAsiaTheme="minorEastAsia" w:hAnsiTheme="minorEastAsia" w:cs="Arial"/>
                <w:color w:val="000000" w:themeColor="text1"/>
              </w:rPr>
              <w:t>本課程旨在透過《三國演義》與歷史資料的比較，引導學生進行批判性思考，探討司馬懿是否真的中了諸葛亮的「空城計」。學生將學習如何分析文本、比較不同觀點，並培養獨立思辨能力。</w:t>
            </w:r>
          </w:p>
        </w:tc>
      </w:tr>
      <w:tr w:rsidR="00F84768" w:rsidRPr="009F15FA" w14:paraId="47425AEE" w14:textId="77777777" w:rsidTr="00431D42">
        <w:tc>
          <w:tcPr>
            <w:tcW w:w="1820" w:type="dxa"/>
          </w:tcPr>
          <w:p w14:paraId="08A6C444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核心素養</w:t>
            </w:r>
          </w:p>
        </w:tc>
        <w:tc>
          <w:tcPr>
            <w:tcW w:w="8107" w:type="dxa"/>
            <w:gridSpan w:val="6"/>
          </w:tcPr>
          <w:p w14:paraId="7B651E40" w14:textId="0A84B481" w:rsidR="002F5E60" w:rsidRPr="002F5E60" w:rsidRDefault="002F5E60" w:rsidP="002F5E60">
            <w:pPr>
              <w:autoSpaceDE w:val="0"/>
              <w:adjustRightInd w:val="0"/>
              <w:ind w:left="761" w:hangingChars="317" w:hanging="761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2F5E60">
              <w:rPr>
                <w:rStyle w:val="a9"/>
                <w:rFonts w:asciiTheme="minorEastAsia" w:eastAsiaTheme="minorEastAsia" w:hAnsiTheme="minorEastAsia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國-J-B1</w:t>
            </w:r>
            <w:r w:rsidRPr="002F5E60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運用國語文表情達意，增進閱讀理解，進而提升欣賞及評析文本的能力，並能傾聽他人的需求、理解他人的觀點，達到良性的人我溝通與互動。</w:t>
            </w:r>
          </w:p>
          <w:p w14:paraId="51A1CD00" w14:textId="24D5ADAA" w:rsidR="002F5E60" w:rsidRPr="003E7F22" w:rsidRDefault="002F5E60" w:rsidP="003E7F22">
            <w:pPr>
              <w:autoSpaceDE w:val="0"/>
              <w:adjustRightInd w:val="0"/>
              <w:ind w:left="761" w:hangingChars="317" w:hanging="761"/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</w:pPr>
            <w:r w:rsidRPr="002F5E60">
              <w:rPr>
                <w:rStyle w:val="a9"/>
                <w:rFonts w:asciiTheme="minorEastAsia" w:eastAsiaTheme="minorEastAsia" w:hAnsiTheme="minorEastAsia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國-J-B2</w:t>
            </w:r>
            <w:r w:rsidRPr="002F5E60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運用科技、資訊與各類媒體所提供的素材，進行檢索、統整、解釋及省思，並轉化成生活的能力與素養。</w:t>
            </w:r>
          </w:p>
        </w:tc>
      </w:tr>
      <w:tr w:rsidR="00F84768" w:rsidRPr="009F15FA" w14:paraId="7ADEC3F1" w14:textId="77777777" w:rsidTr="00431D42">
        <w:tc>
          <w:tcPr>
            <w:tcW w:w="1820" w:type="dxa"/>
          </w:tcPr>
          <w:p w14:paraId="57A745CF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學習內容</w:t>
            </w:r>
          </w:p>
        </w:tc>
        <w:tc>
          <w:tcPr>
            <w:tcW w:w="8107" w:type="dxa"/>
            <w:gridSpan w:val="6"/>
          </w:tcPr>
          <w:p w14:paraId="37094D14" w14:textId="18C1F44D" w:rsidR="00C90386" w:rsidRPr="005F6067" w:rsidRDefault="00C90386" w:rsidP="00C90386">
            <w:pPr>
              <w:ind w:left="761" w:hangingChars="317" w:hanging="761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84768" w:rsidRPr="009F15FA" w14:paraId="791736E2" w14:textId="77777777" w:rsidTr="00431D42">
        <w:tc>
          <w:tcPr>
            <w:tcW w:w="1820" w:type="dxa"/>
          </w:tcPr>
          <w:p w14:paraId="4F0FDFEC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ind w:left="6" w:right="-72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學習表現</w:t>
            </w:r>
          </w:p>
        </w:tc>
        <w:tc>
          <w:tcPr>
            <w:tcW w:w="8107" w:type="dxa"/>
            <w:gridSpan w:val="6"/>
          </w:tcPr>
          <w:p w14:paraId="42854CC4" w14:textId="77777777" w:rsidR="00F84768" w:rsidRPr="00C90386" w:rsidRDefault="00C90386" w:rsidP="00C90386">
            <w:pPr>
              <w:ind w:left="761" w:hangingChars="317" w:hanging="761"/>
              <w:rPr>
                <w:rFonts w:asciiTheme="minorEastAsia" w:eastAsiaTheme="minorEastAsia" w:hAnsiTheme="minorEastAsia"/>
              </w:rPr>
            </w:pPr>
            <w:r w:rsidRPr="00C90386">
              <w:rPr>
                <w:rFonts w:asciiTheme="minorEastAsia" w:eastAsiaTheme="minorEastAsia" w:hAnsiTheme="minorEastAsia"/>
              </w:rPr>
              <w:t>1-Ⅳ-4 靈活應用科技與資訊，增進聆聽能力，加強互動學習效果。</w:t>
            </w:r>
          </w:p>
          <w:p w14:paraId="1EAE3F95" w14:textId="77777777" w:rsidR="00C90386" w:rsidRPr="00C90386" w:rsidRDefault="00C90386" w:rsidP="00C90386">
            <w:pPr>
              <w:ind w:left="761" w:hangingChars="317" w:hanging="761"/>
              <w:rPr>
                <w:rFonts w:asciiTheme="minorEastAsia" w:eastAsiaTheme="minorEastAsia" w:hAnsiTheme="minorEastAsia"/>
              </w:rPr>
            </w:pPr>
            <w:r w:rsidRPr="00C90386">
              <w:rPr>
                <w:rFonts w:asciiTheme="minorEastAsia" w:eastAsiaTheme="minorEastAsia" w:hAnsiTheme="minorEastAsia"/>
              </w:rPr>
              <w:t>2-Ⅳ-2 有效把握聽聞內容的邏輯，做出提問或回饋。</w:t>
            </w:r>
          </w:p>
          <w:p w14:paraId="6A41FF8D" w14:textId="63C5DF93" w:rsidR="00C90386" w:rsidRPr="00C90386" w:rsidRDefault="00C90386" w:rsidP="00C90386">
            <w:pPr>
              <w:ind w:left="761" w:hangingChars="317" w:hanging="761"/>
              <w:rPr>
                <w:rFonts w:asciiTheme="minorEastAsia" w:eastAsiaTheme="minorEastAsia" w:hAnsiTheme="minorEastAsia"/>
              </w:rPr>
            </w:pPr>
            <w:r w:rsidRPr="00C90386">
              <w:rPr>
                <w:rFonts w:asciiTheme="minorEastAsia" w:eastAsiaTheme="minorEastAsia" w:hAnsiTheme="minorEastAsia"/>
              </w:rPr>
              <w:t xml:space="preserve"> 2-Ⅳ-3 依理解的內容，明確表達意見，進行有條理的論辯，並注重言談禮貌。</w:t>
            </w:r>
          </w:p>
          <w:p w14:paraId="7D01A96E" w14:textId="77777777" w:rsidR="00C90386" w:rsidRPr="00C90386" w:rsidRDefault="00C90386" w:rsidP="00C90386">
            <w:pPr>
              <w:ind w:left="761" w:hangingChars="317" w:hanging="761"/>
              <w:rPr>
                <w:rFonts w:asciiTheme="minorEastAsia" w:eastAsiaTheme="minorEastAsia" w:hAnsiTheme="minorEastAsia"/>
              </w:rPr>
            </w:pPr>
            <w:r w:rsidRPr="00C90386">
              <w:rPr>
                <w:rFonts w:asciiTheme="minorEastAsia" w:eastAsiaTheme="minorEastAsia" w:hAnsiTheme="minorEastAsia"/>
              </w:rPr>
              <w:t xml:space="preserve"> 2-Ⅳ-4 靈活運用科技與資訊，豐富表達內容。</w:t>
            </w:r>
          </w:p>
          <w:p w14:paraId="792E1CE3" w14:textId="5B870171" w:rsidR="00C90386" w:rsidRPr="003E7F22" w:rsidRDefault="00C90386" w:rsidP="003E7F22">
            <w:pPr>
              <w:ind w:left="761" w:hangingChars="317" w:hanging="761"/>
              <w:rPr>
                <w:rFonts w:asciiTheme="minorEastAsia" w:eastAsiaTheme="minorEastAsia" w:hAnsiTheme="minorEastAsia" w:hint="eastAsia"/>
              </w:rPr>
            </w:pPr>
            <w:r w:rsidRPr="00C90386">
              <w:rPr>
                <w:rFonts w:asciiTheme="minorEastAsia" w:eastAsiaTheme="minorEastAsia" w:hAnsiTheme="minorEastAsia"/>
              </w:rPr>
              <w:t>5-Ⅳ-5 大量閱讀多元文本，理解議題內涵及其與個人生活、社會結構 的關聯性。</w:t>
            </w:r>
          </w:p>
        </w:tc>
      </w:tr>
      <w:tr w:rsidR="00F84768" w:rsidRPr="009F15FA" w14:paraId="0887073C" w14:textId="77777777" w:rsidTr="00431D42">
        <w:tc>
          <w:tcPr>
            <w:tcW w:w="1820" w:type="dxa"/>
          </w:tcPr>
          <w:p w14:paraId="0AA17736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spacing w:line="316" w:lineRule="exact"/>
              <w:ind w:left="6" w:right="-72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活動名稱</w:t>
            </w:r>
          </w:p>
        </w:tc>
        <w:tc>
          <w:tcPr>
            <w:tcW w:w="5693" w:type="dxa"/>
            <w:gridSpan w:val="2"/>
          </w:tcPr>
          <w:p w14:paraId="6F6716E0" w14:textId="77777777" w:rsidR="00F84768" w:rsidRPr="005F6067" w:rsidRDefault="00F84768">
            <w:pPr>
              <w:tabs>
                <w:tab w:val="left" w:pos="1640"/>
                <w:tab w:val="left" w:pos="3280"/>
                <w:tab w:val="left" w:pos="4920"/>
              </w:tabs>
              <w:spacing w:line="316" w:lineRule="exact"/>
              <w:ind w:left="4" w:right="-67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教學活動流程簡述</w:t>
            </w:r>
          </w:p>
        </w:tc>
        <w:tc>
          <w:tcPr>
            <w:tcW w:w="1017" w:type="dxa"/>
            <w:gridSpan w:val="2"/>
          </w:tcPr>
          <w:p w14:paraId="60E57B6C" w14:textId="77777777" w:rsidR="00F84768" w:rsidRPr="005F6067" w:rsidRDefault="00F84768">
            <w:pPr>
              <w:tabs>
                <w:tab w:val="left" w:pos="1020"/>
              </w:tabs>
              <w:spacing w:line="316" w:lineRule="exact"/>
              <w:ind w:left="4" w:right="-70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時間</w:t>
            </w:r>
          </w:p>
        </w:tc>
        <w:tc>
          <w:tcPr>
            <w:tcW w:w="1397" w:type="dxa"/>
            <w:gridSpan w:val="2"/>
          </w:tcPr>
          <w:p w14:paraId="5EBCB560" w14:textId="77777777" w:rsidR="00F84768" w:rsidRPr="005F6067" w:rsidRDefault="00F84768">
            <w:pPr>
              <w:tabs>
                <w:tab w:val="left" w:pos="1100"/>
              </w:tabs>
              <w:spacing w:line="316" w:lineRule="exact"/>
              <w:ind w:left="6" w:right="-70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教具</w:t>
            </w:r>
          </w:p>
        </w:tc>
      </w:tr>
      <w:tr w:rsidR="003E7F22" w:rsidRPr="009F15FA" w14:paraId="4B804272" w14:textId="77777777" w:rsidTr="00ED7773">
        <w:trPr>
          <w:trHeight w:val="557"/>
        </w:trPr>
        <w:tc>
          <w:tcPr>
            <w:tcW w:w="1820" w:type="dxa"/>
          </w:tcPr>
          <w:p w14:paraId="3F2D36BA" w14:textId="77777777" w:rsidR="003E7F22" w:rsidRPr="005F6067" w:rsidRDefault="003E7F22" w:rsidP="003E7F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93" w:type="dxa"/>
            <w:gridSpan w:val="2"/>
          </w:tcPr>
          <w:p w14:paraId="7157533B" w14:textId="0323E02C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第一階段導入</w:t>
            </w:r>
          </w:p>
          <w:p w14:paraId="3E2100E2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問題引導</w:t>
            </w:r>
            <w:r w:rsidRPr="003E7F22">
              <w:rPr>
                <w:rFonts w:asciiTheme="minorEastAsia" w:eastAsiaTheme="minorEastAsia" w:hAnsiTheme="minorEastAsia"/>
              </w:rPr>
              <w:t>：「司馬懿真的中了空城計嗎？」請學生分享自己的看法。</w:t>
            </w:r>
          </w:p>
          <w:p w14:paraId="132BC116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文本閱讀</w:t>
            </w:r>
            <w:r w:rsidRPr="003E7F22">
              <w:rPr>
                <w:rFonts w:asciiTheme="minorEastAsia" w:eastAsiaTheme="minorEastAsia" w:hAnsiTheme="minorEastAsia"/>
              </w:rPr>
              <w:t>：由學生輪流朗讀《三國演義》第十三課《空城計》內容。</w:t>
            </w:r>
          </w:p>
          <w:p w14:paraId="109B1A73" w14:textId="29F25715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第二階段：文本分析與歷史比較</w:t>
            </w:r>
          </w:p>
          <w:p w14:paraId="29525CC2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分析小說內容</w:t>
            </w:r>
            <w:r w:rsidRPr="003E7F22">
              <w:rPr>
                <w:rFonts w:asciiTheme="minorEastAsia" w:eastAsiaTheme="minorEastAsia" w:hAnsiTheme="minorEastAsia"/>
              </w:rPr>
              <w:t>：</w:t>
            </w:r>
          </w:p>
          <w:p w14:paraId="57BD540B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</w:rPr>
              <w:t>諸葛亮如何設計空城計？</w:t>
            </w:r>
          </w:p>
          <w:p w14:paraId="154E1479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</w:rPr>
              <w:t>司馬懿的反應與決策。</w:t>
            </w:r>
          </w:p>
          <w:p w14:paraId="6F741DB3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比較歷史記載</w:t>
            </w:r>
            <w:r w:rsidRPr="003E7F22">
              <w:rPr>
                <w:rFonts w:asciiTheme="minorEastAsia" w:eastAsiaTheme="minorEastAsia" w:hAnsiTheme="minorEastAsia"/>
              </w:rPr>
              <w:t>：</w:t>
            </w:r>
          </w:p>
          <w:p w14:paraId="54A461A0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</w:rPr>
              <w:t>根據《三國志》，司馬懿是否真的中計？</w:t>
            </w:r>
          </w:p>
          <w:p w14:paraId="41420BDF" w14:textId="520C53B6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學生分組搜尋、</w:t>
            </w:r>
            <w:r w:rsidRPr="003E7F22">
              <w:rPr>
                <w:rFonts w:asciiTheme="minorEastAsia" w:eastAsiaTheme="minorEastAsia" w:hAnsiTheme="minorEastAsia"/>
              </w:rPr>
              <w:t>參考網路資料，探討司馬懿退兵的真正原因。</w:t>
            </w:r>
          </w:p>
          <w:p w14:paraId="1DCE2E33" w14:textId="519CE833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第三階段：小組討論與思辨</w:t>
            </w:r>
          </w:p>
          <w:p w14:paraId="09CF193F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分組討論</w:t>
            </w:r>
            <w:r w:rsidRPr="003E7F22">
              <w:rPr>
                <w:rFonts w:asciiTheme="minorEastAsia" w:eastAsiaTheme="minorEastAsia" w:hAnsiTheme="minorEastAsia"/>
              </w:rPr>
              <w:t>：</w:t>
            </w:r>
          </w:p>
          <w:p w14:paraId="69083AA2" w14:textId="77777777" w:rsidR="003E7F22" w:rsidRPr="003E7F22" w:rsidRDefault="003E7F22" w:rsidP="003E7F22">
            <w:p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</w:rPr>
              <w:t>司馬懿退兵是因為謹慎，還是因為真的受騙？</w:t>
            </w:r>
          </w:p>
          <w:p w14:paraId="7BBE5441" w14:textId="77777777" w:rsidR="003E7F22" w:rsidRDefault="003E7F22" w:rsidP="003E7F22">
            <w:pPr>
              <w:pStyle w:val="aa"/>
              <w:numPr>
                <w:ilvl w:val="0"/>
                <w:numId w:val="14"/>
              </w:num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</w:rPr>
              <w:lastRenderedPageBreak/>
              <w:t>司馬懿是否有其他政治考量？</w:t>
            </w:r>
          </w:p>
          <w:p w14:paraId="4FB34809" w14:textId="77777777" w:rsidR="003E7F22" w:rsidRPr="003E7F22" w:rsidRDefault="003E7F22" w:rsidP="003E7F22">
            <w:pPr>
              <w:pStyle w:val="aa"/>
              <w:numPr>
                <w:ilvl w:val="0"/>
                <w:numId w:val="14"/>
              </w:numPr>
              <w:autoSpaceDE w:val="0"/>
              <w:adjustRightInd w:val="0"/>
              <w:rPr>
                <w:rFonts w:asciiTheme="minorEastAsia" w:eastAsiaTheme="minorEastAsia" w:hAnsiTheme="minorEastAsia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</w:rPr>
              <w:t>小組發表</w:t>
            </w:r>
            <w:r w:rsidRPr="003E7F22">
              <w:rPr>
                <w:rFonts w:asciiTheme="minorEastAsia" w:eastAsiaTheme="minorEastAsia" w:hAnsiTheme="minorEastAsia"/>
              </w:rPr>
              <w:t>：各組分享討論結果，並提出支持論點的證據。</w:t>
            </w:r>
          </w:p>
          <w:p w14:paraId="7EBD21AD" w14:textId="40BCAE1E" w:rsidR="003E7F22" w:rsidRPr="003E7F22" w:rsidRDefault="003E7F22" w:rsidP="003E7F22">
            <w:pPr>
              <w:spacing w:line="400" w:lineRule="exact"/>
              <w:rPr>
                <w:rFonts w:asciiTheme="minorEastAsia" w:eastAsiaTheme="minorEastAsia" w:hAnsiTheme="minorEastAsia"/>
                <w:b/>
                <w:shd w:val="pct15" w:color="auto" w:fill="FFFFFF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第四階段：總結與反思</w:t>
            </w:r>
          </w:p>
          <w:p w14:paraId="38C1D8BE" w14:textId="77777777" w:rsidR="003E7F22" w:rsidRPr="003E7F22" w:rsidRDefault="003E7F22" w:rsidP="003E7F22">
            <w:pPr>
              <w:numPr>
                <w:ilvl w:val="0"/>
                <w:numId w:val="19"/>
              </w:numPr>
              <w:spacing w:line="400" w:lineRule="exact"/>
              <w:rPr>
                <w:rFonts w:asciiTheme="minorEastAsia" w:eastAsiaTheme="minorEastAsia" w:hAnsiTheme="minorEastAsia"/>
                <w:b/>
                <w:shd w:val="pct15" w:color="auto" w:fill="FFFFFF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教師引導</w:t>
            </w:r>
            <w:r w:rsidRPr="003E7F22">
              <w:rPr>
                <w:rFonts w:asciiTheme="minorEastAsia" w:eastAsiaTheme="minorEastAsia" w:hAnsiTheme="minorEastAsia"/>
                <w:b/>
                <w:shd w:val="pct15" w:color="auto" w:fill="FFFFFF"/>
              </w:rPr>
              <w:t>：整理各組觀點，並補充歷史背景。</w:t>
            </w:r>
          </w:p>
          <w:p w14:paraId="7FA4C444" w14:textId="77777777" w:rsidR="003E7F22" w:rsidRPr="003E7F22" w:rsidRDefault="003E7F22" w:rsidP="003E7F22">
            <w:pPr>
              <w:numPr>
                <w:ilvl w:val="0"/>
                <w:numId w:val="19"/>
              </w:numPr>
              <w:spacing w:line="400" w:lineRule="exact"/>
              <w:rPr>
                <w:rFonts w:asciiTheme="minorEastAsia" w:eastAsiaTheme="minorEastAsia" w:hAnsiTheme="minorEastAsia"/>
                <w:b/>
                <w:shd w:val="pct15" w:color="auto" w:fill="FFFFFF"/>
              </w:rPr>
            </w:pPr>
            <w:r w:rsidRPr="003E7F22">
              <w:rPr>
                <w:rFonts w:asciiTheme="minorEastAsia" w:eastAsiaTheme="minorEastAsia" w:hAnsiTheme="minorEastAsia"/>
                <w:b/>
                <w:bCs/>
                <w:shd w:val="pct15" w:color="auto" w:fill="FFFFFF"/>
              </w:rPr>
              <w:t>學生反思</w:t>
            </w:r>
            <w:r w:rsidRPr="003E7F22">
              <w:rPr>
                <w:rFonts w:asciiTheme="minorEastAsia" w:eastAsiaTheme="minorEastAsia" w:hAnsiTheme="minorEastAsia"/>
                <w:b/>
                <w:shd w:val="pct15" w:color="auto" w:fill="FFFFFF"/>
              </w:rPr>
              <w:t>：請學生寫下自己的結論，並說明理由。</w:t>
            </w:r>
          </w:p>
          <w:p w14:paraId="1F076D48" w14:textId="207FE1DD" w:rsidR="003E7F22" w:rsidRPr="003E7F22" w:rsidRDefault="003E7F22" w:rsidP="003E7F22">
            <w:pPr>
              <w:spacing w:line="400" w:lineRule="exact"/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</w:pPr>
          </w:p>
        </w:tc>
        <w:tc>
          <w:tcPr>
            <w:tcW w:w="1017" w:type="dxa"/>
            <w:gridSpan w:val="2"/>
          </w:tcPr>
          <w:p w14:paraId="727D0551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lastRenderedPageBreak/>
              <w:t>10分鐘</w:t>
            </w:r>
          </w:p>
          <w:p w14:paraId="18A089B1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5E447C20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62DF4DCF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15分鐘</w:t>
            </w:r>
          </w:p>
          <w:p w14:paraId="6D840675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6A5E2854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0D253A80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7E0E8916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15分鐘</w:t>
            </w:r>
          </w:p>
          <w:p w14:paraId="46CDDD39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1753B0F9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51EBCF93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7F570933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3998FE60" w14:textId="33938FFD" w:rsidR="003E7F22" w:rsidRP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 w:hint="eastAsia"/>
              </w:rPr>
            </w:pPr>
            <w:r>
              <w:rPr>
                <w:rFonts w:asciiTheme="minorEastAsia" w:eastAsiaTheme="minorEastAsia" w:hAnsiTheme="minorEastAsia" w:cs="Arial" w:hint="eastAsia"/>
              </w:rPr>
              <w:t>10分鐘</w:t>
            </w:r>
          </w:p>
        </w:tc>
        <w:tc>
          <w:tcPr>
            <w:tcW w:w="1397" w:type="dxa"/>
            <w:gridSpan w:val="2"/>
          </w:tcPr>
          <w:p w14:paraId="0CA25FA6" w14:textId="0500B1DA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lastRenderedPageBreak/>
              <w:t>i</w:t>
            </w:r>
            <w:r>
              <w:rPr>
                <w:rFonts w:asciiTheme="minorEastAsia" w:eastAsiaTheme="minorEastAsia" w:hAnsiTheme="minorEastAsia" w:cs="Arial" w:hint="eastAsia"/>
              </w:rPr>
              <w:t>pad</w:t>
            </w:r>
          </w:p>
          <w:p w14:paraId="4C3C0D30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36D2D8E2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35FBB517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ipad</w:t>
            </w:r>
          </w:p>
          <w:p w14:paraId="1956F935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651061BD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6BA22548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0214BC2A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ipad</w:t>
            </w:r>
          </w:p>
          <w:p w14:paraId="75757B63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4C577E87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6AF9B53A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0B7375D6" w14:textId="77777777" w:rsidR="003E7F22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4FE62758" w14:textId="0DA1143A" w:rsidR="003E7F22" w:rsidRPr="005F6067" w:rsidRDefault="003E7F22" w:rsidP="003E7F22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 w:hint="eastAsia"/>
              </w:rPr>
            </w:pPr>
            <w:r>
              <w:rPr>
                <w:rFonts w:asciiTheme="minorEastAsia" w:eastAsiaTheme="minorEastAsia" w:hAnsiTheme="minorEastAsia" w:cs="Arial" w:hint="eastAsia"/>
              </w:rPr>
              <w:t>ipad</w:t>
            </w:r>
          </w:p>
        </w:tc>
      </w:tr>
      <w:tr w:rsidR="003E7F22" w:rsidRPr="009F15FA" w14:paraId="0BCE008D" w14:textId="77777777" w:rsidTr="00431D42">
        <w:tc>
          <w:tcPr>
            <w:tcW w:w="1820" w:type="dxa"/>
          </w:tcPr>
          <w:p w14:paraId="1281E356" w14:textId="77777777" w:rsidR="003E7F22" w:rsidRPr="005F6067" w:rsidRDefault="003E7F22" w:rsidP="003E7F22">
            <w:pPr>
              <w:tabs>
                <w:tab w:val="left" w:pos="560"/>
                <w:tab w:val="left" w:pos="1120"/>
                <w:tab w:val="left" w:pos="1680"/>
              </w:tabs>
              <w:spacing w:line="400" w:lineRule="exact"/>
              <w:ind w:left="6" w:right="-72"/>
              <w:jc w:val="center"/>
              <w:rPr>
                <w:rFonts w:asciiTheme="minorEastAsia" w:eastAsiaTheme="minorEastAsia" w:hAnsiTheme="minorEastAsia" w:cs="Adobe 仿宋 Std R"/>
                <w:color w:val="000000" w:themeColor="text1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 w:themeColor="text1"/>
              </w:rPr>
              <w:t>教學評量</w:t>
            </w:r>
          </w:p>
        </w:tc>
        <w:tc>
          <w:tcPr>
            <w:tcW w:w="8107" w:type="dxa"/>
            <w:gridSpan w:val="6"/>
          </w:tcPr>
          <w:p w14:paraId="1BFB1E81" w14:textId="24A5BE1D" w:rsidR="003E7F22" w:rsidRPr="005F6067" w:rsidRDefault="003E7F22" w:rsidP="003E7F22">
            <w:pPr>
              <w:widowControl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6067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</w:rPr>
              <w:t>學習單、線</w:t>
            </w: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</w:rPr>
              <w:t>上填測</w:t>
            </w:r>
          </w:p>
        </w:tc>
      </w:tr>
      <w:tr w:rsidR="003E7F22" w14:paraId="207B6447" w14:textId="77777777" w:rsidTr="00EC6090">
        <w:trPr>
          <w:gridAfter w:val="1"/>
          <w:wAfter w:w="9" w:type="dxa"/>
          <w:trHeight w:val="9632"/>
        </w:trPr>
        <w:tc>
          <w:tcPr>
            <w:tcW w:w="9918" w:type="dxa"/>
            <w:gridSpan w:val="6"/>
          </w:tcPr>
          <w:p w14:paraId="78F7D1D9" w14:textId="569421E0" w:rsidR="003E7F22" w:rsidRPr="00285EB2" w:rsidRDefault="001334C9" w:rsidP="003E7F22">
            <w:pPr>
              <w:wordWrap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參考資料：</w:t>
            </w:r>
          </w:p>
          <w:p w14:paraId="7E9186EB" w14:textId="77777777" w:rsidR="001334C9" w:rsidRPr="001334C9" w:rsidRDefault="001334C9" w:rsidP="001334C9">
            <w:pPr>
              <w:wordWrap w:val="0"/>
              <w:spacing w:line="500" w:lineRule="exact"/>
            </w:pPr>
            <w:r w:rsidRPr="001334C9">
              <w:t>根據網路搜尋結果，學者對於司馬懿是否真的中了空城計有不同的分析。一些觀點認為司馬懿並非真的受騙，而是因為政治考量選擇退兵。例如，有學者指出，司馬懿臨終前曾說：「吾事魏歷年，人皆疑吾有異志，吾嘗懷驚駭。」這句話顯示他一直受到曹魏君主的猜疑，因此他在面對諸葛亮時，選擇退兵以避免鋒芒太露，進一步消除君主的疑慮。</w:t>
            </w:r>
          </w:p>
          <w:p w14:paraId="2FF1EB7E" w14:textId="77777777" w:rsidR="001334C9" w:rsidRPr="001334C9" w:rsidRDefault="001334C9" w:rsidP="001334C9">
            <w:pPr>
              <w:wordWrap w:val="0"/>
              <w:spacing w:line="500" w:lineRule="exact"/>
            </w:pPr>
            <w:r w:rsidRPr="001334C9">
              <w:t>此外，《三國演義》中的《空城計》描寫諸葛亮故意大開城門，焚香操琴，使司馬懿誤以為城內有伏兵而退兵。然而，《三國志》對此事件的記載較為簡略，並未詳細描述司馬懿是否真的因為受騙而退兵，這也讓後世對此事件的真實性產生討論。</w:t>
            </w:r>
          </w:p>
          <w:p w14:paraId="1BADAA94" w14:textId="77777777" w:rsidR="001334C9" w:rsidRPr="001334C9" w:rsidRDefault="001334C9" w:rsidP="001334C9">
            <w:pPr>
              <w:wordWrap w:val="0"/>
              <w:spacing w:line="500" w:lineRule="exact"/>
            </w:pPr>
            <w:r>
              <w:rPr>
                <w:rFonts w:hint="eastAsia"/>
              </w:rPr>
              <w:t>某</w:t>
            </w:r>
            <w:r w:rsidRPr="001334C9">
              <w:t>些學者對於司馬懿是否真的中了空城計的分析與相關資料：</w:t>
            </w:r>
          </w:p>
          <w:p w14:paraId="7075A809" w14:textId="77777777" w:rsidR="001334C9" w:rsidRPr="001334C9" w:rsidRDefault="001334C9" w:rsidP="001334C9">
            <w:pPr>
              <w:numPr>
                <w:ilvl w:val="0"/>
                <w:numId w:val="20"/>
              </w:numPr>
              <w:wordWrap w:val="0"/>
              <w:spacing w:line="500" w:lineRule="exact"/>
            </w:pPr>
            <w:r w:rsidRPr="001334C9">
              <w:rPr>
                <w:b/>
                <w:bCs/>
              </w:rPr>
              <w:t>政治考量說</w:t>
            </w:r>
            <w:r w:rsidRPr="001334C9">
              <w:t>：有學者認為司馬懿並非真的受騙，而是因為政治考量選擇退兵。他在臨終前曾說：「吾事魏歷年，人皆疑吾有異志，吾嘗懷驚駭。」這顯示他一直受到曹魏君主的猜疑，因此他在面對諸葛亮時，選擇退兵以避免鋒芒太露，進一步消除君主的疑慮</w:t>
            </w:r>
            <w:hyperlink r:id="rId8" w:history="1">
              <w:r w:rsidRPr="001334C9">
                <w:rPr>
                  <w:rStyle w:val="ad"/>
                </w:rPr>
                <w:t>1</w:t>
              </w:r>
            </w:hyperlink>
            <w:r w:rsidRPr="001334C9">
              <w:t>。</w:t>
            </w:r>
          </w:p>
          <w:p w14:paraId="6CBC4AEB" w14:textId="77777777" w:rsidR="001334C9" w:rsidRPr="001334C9" w:rsidRDefault="001334C9" w:rsidP="001334C9">
            <w:pPr>
              <w:numPr>
                <w:ilvl w:val="0"/>
                <w:numId w:val="20"/>
              </w:numPr>
              <w:wordWrap w:val="0"/>
              <w:spacing w:line="500" w:lineRule="exact"/>
            </w:pPr>
            <w:r w:rsidRPr="001334C9">
              <w:rPr>
                <w:b/>
                <w:bCs/>
              </w:rPr>
              <w:t>歷史記載與小說差異</w:t>
            </w:r>
            <w:r w:rsidRPr="001334C9">
              <w:t>：《三國演義》中的《空城計》描寫諸葛亮故意大開城門，焚香操琴，使司馬懿誤以為城內有伏兵而退兵。然而，《三國志》對此事件的記載較為簡略，並未詳細描述司馬懿是否真的因為受騙而退兵，這也讓後世對此事件的真實性產生討論</w:t>
            </w:r>
            <w:hyperlink r:id="rId9" w:history="1">
              <w:r w:rsidRPr="001334C9">
                <w:rPr>
                  <w:rStyle w:val="ad"/>
                </w:rPr>
                <w:t>2</w:t>
              </w:r>
            </w:hyperlink>
            <w:r w:rsidRPr="001334C9">
              <w:t>。</w:t>
            </w:r>
          </w:p>
          <w:p w14:paraId="553D01D0" w14:textId="15EC5524" w:rsidR="003E7F22" w:rsidRPr="001334C9" w:rsidRDefault="001334C9" w:rsidP="001334C9">
            <w:pPr>
              <w:numPr>
                <w:ilvl w:val="0"/>
                <w:numId w:val="20"/>
              </w:numPr>
              <w:wordWrap w:val="0"/>
              <w:spacing w:line="500" w:lineRule="exact"/>
            </w:pPr>
            <w:r w:rsidRPr="001334C9">
              <w:rPr>
                <w:b/>
                <w:bCs/>
              </w:rPr>
              <w:t>司馬懿的戰略考量</w:t>
            </w:r>
            <w:r w:rsidRPr="001334C9">
              <w:t>：另一種觀點認為，司馬懿並非真的看不破空城計，而是故意放過諸葛亮，以確保自己在曹魏政權中的地位。當時曹魏內部對司馬懿有所猜疑，而諸葛亮的存在使得曹魏仍需要依賴司馬懿來對抗蜀漢，因此他選擇退兵，以保全自己的政治利益</w:t>
            </w:r>
            <w:r>
              <w:rPr>
                <w:rFonts w:hint="eastAsia"/>
              </w:rPr>
              <w:t>。</w:t>
            </w:r>
          </w:p>
        </w:tc>
      </w:tr>
    </w:tbl>
    <w:p w14:paraId="38C2B7DC" w14:textId="77777777" w:rsidR="00217209" w:rsidRPr="001757E0" w:rsidRDefault="00217209" w:rsidP="001757E0">
      <w:pPr>
        <w:pStyle w:val="1"/>
        <w:widowControl w:val="0"/>
        <w:rPr>
          <w:rFonts w:ascii="新細明體" w:hAnsi="新細明體" w:cs="新細明體"/>
          <w:color w:val="000000"/>
          <w:sz w:val="24"/>
          <w:szCs w:val="24"/>
        </w:rPr>
      </w:pPr>
    </w:p>
    <w:sectPr w:rsidR="00217209" w:rsidRPr="001757E0" w:rsidSect="005F55EA">
      <w:footerReference w:type="default" r:id="rId10"/>
      <w:pgSz w:w="11906" w:h="16838"/>
      <w:pgMar w:top="1077" w:right="1134" w:bottom="1077" w:left="1134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7E74" w14:textId="77777777" w:rsidR="003325B0" w:rsidRDefault="003325B0">
      <w:r>
        <w:separator/>
      </w:r>
    </w:p>
  </w:endnote>
  <w:endnote w:type="continuationSeparator" w:id="0">
    <w:p w14:paraId="1B4FFDB0" w14:textId="77777777" w:rsidR="003325B0" w:rsidRDefault="0033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charset w:val="00"/>
    <w:family w:val="roman"/>
    <w:pitch w:val="variable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B09E" w14:textId="77777777" w:rsidR="005817F8" w:rsidRDefault="00227D34">
    <w:pPr>
      <w:pStyle w:val="a5"/>
      <w:jc w:val="center"/>
    </w:pPr>
    <w:r>
      <w:rPr>
        <w:rStyle w:val="a6"/>
      </w:rPr>
      <w:t>-</w:t>
    </w:r>
    <w:r w:rsidR="005F55EA">
      <w:rPr>
        <w:rStyle w:val="a6"/>
      </w:rPr>
      <w:fldChar w:fldCharType="begin"/>
    </w:r>
    <w:r>
      <w:rPr>
        <w:rStyle w:val="a6"/>
      </w:rPr>
      <w:instrText xml:space="preserve"> PAGE </w:instrText>
    </w:r>
    <w:r w:rsidR="005F55EA">
      <w:rPr>
        <w:rStyle w:val="a6"/>
      </w:rPr>
      <w:fldChar w:fldCharType="separate"/>
    </w:r>
    <w:r w:rsidR="000D7700">
      <w:rPr>
        <w:rStyle w:val="a6"/>
        <w:noProof/>
      </w:rPr>
      <w:t>2</w:t>
    </w:r>
    <w:r w:rsidR="005F55EA">
      <w:rPr>
        <w:rStyle w:val="a6"/>
      </w:rPr>
      <w:fldChar w:fldCharType="end"/>
    </w:r>
    <w:r>
      <w:rPr>
        <w:rStyle w:val="a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B7E5" w14:textId="77777777" w:rsidR="003325B0" w:rsidRDefault="003325B0">
      <w:r>
        <w:rPr>
          <w:color w:val="000000"/>
        </w:rPr>
        <w:separator/>
      </w:r>
    </w:p>
  </w:footnote>
  <w:footnote w:type="continuationSeparator" w:id="0">
    <w:p w14:paraId="36818B6D" w14:textId="77777777" w:rsidR="003325B0" w:rsidRDefault="0033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ind w:left="4244" w:hanging="480"/>
      </w:pPr>
    </w:lvl>
  </w:abstractNum>
  <w:abstractNum w:abstractNumId="1" w15:restartNumberingAfterBreak="0">
    <w:nsid w:val="075D3C1D"/>
    <w:multiLevelType w:val="singleLevel"/>
    <w:tmpl w:val="05BC416C"/>
    <w:lvl w:ilvl="0">
      <w:start w:val="1"/>
      <w:numFmt w:val="taiwaneseCountingThousand"/>
      <w:pStyle w:val="a"/>
      <w:lvlText w:val="（%1）"/>
      <w:lvlJc w:val="left"/>
      <w:pPr>
        <w:tabs>
          <w:tab w:val="num" w:pos="840"/>
        </w:tabs>
        <w:ind w:left="840" w:hanging="840"/>
      </w:pPr>
      <w:rPr>
        <w:lang w:val="en-US"/>
      </w:rPr>
    </w:lvl>
  </w:abstractNum>
  <w:abstractNum w:abstractNumId="2" w15:restartNumberingAfterBreak="0">
    <w:nsid w:val="07980267"/>
    <w:multiLevelType w:val="multilevel"/>
    <w:tmpl w:val="A24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63031"/>
    <w:multiLevelType w:val="multilevel"/>
    <w:tmpl w:val="FBC0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C6288"/>
    <w:multiLevelType w:val="multilevel"/>
    <w:tmpl w:val="6AF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F5AD5"/>
    <w:multiLevelType w:val="multilevel"/>
    <w:tmpl w:val="AD4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B70B3"/>
    <w:multiLevelType w:val="multilevel"/>
    <w:tmpl w:val="A3F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96B25"/>
    <w:multiLevelType w:val="hybridMultilevel"/>
    <w:tmpl w:val="6FDE3BCC"/>
    <w:lvl w:ilvl="0" w:tplc="0EE0F700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B137A"/>
    <w:multiLevelType w:val="multilevel"/>
    <w:tmpl w:val="BCBA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120FE"/>
    <w:multiLevelType w:val="hybridMultilevel"/>
    <w:tmpl w:val="44B666F2"/>
    <w:lvl w:ilvl="0" w:tplc="30604C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86120"/>
    <w:multiLevelType w:val="multilevel"/>
    <w:tmpl w:val="B38A4816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30E5F"/>
    <w:multiLevelType w:val="multilevel"/>
    <w:tmpl w:val="0ACE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0D7A6C"/>
    <w:multiLevelType w:val="multilevel"/>
    <w:tmpl w:val="C0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62C92"/>
    <w:multiLevelType w:val="hybridMultilevel"/>
    <w:tmpl w:val="5F02312C"/>
    <w:lvl w:ilvl="0" w:tplc="96E07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75878"/>
    <w:multiLevelType w:val="hybridMultilevel"/>
    <w:tmpl w:val="C8A88006"/>
    <w:lvl w:ilvl="0" w:tplc="4EBAC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D41AE1"/>
    <w:multiLevelType w:val="multilevel"/>
    <w:tmpl w:val="D1EC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C1C10"/>
    <w:multiLevelType w:val="hybridMultilevel"/>
    <w:tmpl w:val="B58EA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F322A"/>
    <w:multiLevelType w:val="hybridMultilevel"/>
    <w:tmpl w:val="E8E8BD30"/>
    <w:lvl w:ilvl="0" w:tplc="AC245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571AB5"/>
    <w:multiLevelType w:val="multilevel"/>
    <w:tmpl w:val="911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B196F"/>
    <w:multiLevelType w:val="multilevel"/>
    <w:tmpl w:val="D5DC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487856">
    <w:abstractNumId w:val="10"/>
  </w:num>
  <w:num w:numId="2" w16cid:durableId="1742288026">
    <w:abstractNumId w:val="1"/>
    <w:lvlOverride w:ilvl="0">
      <w:startOverride w:val="1"/>
    </w:lvlOverride>
  </w:num>
  <w:num w:numId="3" w16cid:durableId="670372290">
    <w:abstractNumId w:val="7"/>
  </w:num>
  <w:num w:numId="4" w16cid:durableId="89200054">
    <w:abstractNumId w:val="16"/>
  </w:num>
  <w:num w:numId="5" w16cid:durableId="685516761">
    <w:abstractNumId w:val="13"/>
  </w:num>
  <w:num w:numId="6" w16cid:durableId="649098734">
    <w:abstractNumId w:val="17"/>
  </w:num>
  <w:num w:numId="7" w16cid:durableId="753167001">
    <w:abstractNumId w:val="0"/>
  </w:num>
  <w:num w:numId="8" w16cid:durableId="1334182365">
    <w:abstractNumId w:val="14"/>
  </w:num>
  <w:num w:numId="9" w16cid:durableId="1347750212">
    <w:abstractNumId w:val="3"/>
  </w:num>
  <w:num w:numId="10" w16cid:durableId="819690784">
    <w:abstractNumId w:val="12"/>
  </w:num>
  <w:num w:numId="11" w16cid:durableId="1829785412">
    <w:abstractNumId w:val="6"/>
  </w:num>
  <w:num w:numId="12" w16cid:durableId="1521313165">
    <w:abstractNumId w:val="5"/>
  </w:num>
  <w:num w:numId="13" w16cid:durableId="346711301">
    <w:abstractNumId w:val="8"/>
  </w:num>
  <w:num w:numId="14" w16cid:durableId="854348081">
    <w:abstractNumId w:val="9"/>
  </w:num>
  <w:num w:numId="15" w16cid:durableId="2028946255">
    <w:abstractNumId w:val="4"/>
  </w:num>
  <w:num w:numId="16" w16cid:durableId="1011682630">
    <w:abstractNumId w:val="19"/>
  </w:num>
  <w:num w:numId="17" w16cid:durableId="1177034021">
    <w:abstractNumId w:val="18"/>
  </w:num>
  <w:num w:numId="18" w16cid:durableId="1802796395">
    <w:abstractNumId w:val="11"/>
  </w:num>
  <w:num w:numId="19" w16cid:durableId="292441485">
    <w:abstractNumId w:val="2"/>
  </w:num>
  <w:num w:numId="20" w16cid:durableId="15397335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80"/>
    <w:rsid w:val="00011C0D"/>
    <w:rsid w:val="000454BA"/>
    <w:rsid w:val="00045C87"/>
    <w:rsid w:val="000D7700"/>
    <w:rsid w:val="001050C3"/>
    <w:rsid w:val="001334C9"/>
    <w:rsid w:val="001336C2"/>
    <w:rsid w:val="001606E9"/>
    <w:rsid w:val="00171716"/>
    <w:rsid w:val="001757E0"/>
    <w:rsid w:val="00183D07"/>
    <w:rsid w:val="001A154A"/>
    <w:rsid w:val="001A1FE0"/>
    <w:rsid w:val="001A6E47"/>
    <w:rsid w:val="001C345C"/>
    <w:rsid w:val="001C63C8"/>
    <w:rsid w:val="00217209"/>
    <w:rsid w:val="00223B74"/>
    <w:rsid w:val="00227D34"/>
    <w:rsid w:val="00285EB2"/>
    <w:rsid w:val="002D1943"/>
    <w:rsid w:val="002E4A8B"/>
    <w:rsid w:val="002F0DFF"/>
    <w:rsid w:val="002F5E60"/>
    <w:rsid w:val="0030190C"/>
    <w:rsid w:val="00314968"/>
    <w:rsid w:val="003325B0"/>
    <w:rsid w:val="0036029E"/>
    <w:rsid w:val="003A3449"/>
    <w:rsid w:val="003B1E96"/>
    <w:rsid w:val="003E6BF5"/>
    <w:rsid w:val="003E7F22"/>
    <w:rsid w:val="00431D42"/>
    <w:rsid w:val="0043677F"/>
    <w:rsid w:val="004658CE"/>
    <w:rsid w:val="004861A5"/>
    <w:rsid w:val="004B00DD"/>
    <w:rsid w:val="004D3695"/>
    <w:rsid w:val="004E7C33"/>
    <w:rsid w:val="004F107B"/>
    <w:rsid w:val="00534692"/>
    <w:rsid w:val="005817F8"/>
    <w:rsid w:val="005F55EA"/>
    <w:rsid w:val="005F6067"/>
    <w:rsid w:val="006258A8"/>
    <w:rsid w:val="00640C17"/>
    <w:rsid w:val="0066502A"/>
    <w:rsid w:val="00677257"/>
    <w:rsid w:val="006C49B8"/>
    <w:rsid w:val="00716581"/>
    <w:rsid w:val="00731C5D"/>
    <w:rsid w:val="007461DA"/>
    <w:rsid w:val="007715A6"/>
    <w:rsid w:val="007A7AD8"/>
    <w:rsid w:val="007E5865"/>
    <w:rsid w:val="00802CEC"/>
    <w:rsid w:val="00820F11"/>
    <w:rsid w:val="00865DDA"/>
    <w:rsid w:val="0089584F"/>
    <w:rsid w:val="008C59F4"/>
    <w:rsid w:val="008F4EBF"/>
    <w:rsid w:val="00915041"/>
    <w:rsid w:val="0092591A"/>
    <w:rsid w:val="00937830"/>
    <w:rsid w:val="00956192"/>
    <w:rsid w:val="00976381"/>
    <w:rsid w:val="009C5E52"/>
    <w:rsid w:val="009D4BBB"/>
    <w:rsid w:val="009E6CAA"/>
    <w:rsid w:val="009F15FA"/>
    <w:rsid w:val="00A30D7A"/>
    <w:rsid w:val="00A61813"/>
    <w:rsid w:val="00A8687A"/>
    <w:rsid w:val="00AA5E77"/>
    <w:rsid w:val="00AA71CF"/>
    <w:rsid w:val="00AB42F4"/>
    <w:rsid w:val="00B03F5D"/>
    <w:rsid w:val="00B225DA"/>
    <w:rsid w:val="00B23924"/>
    <w:rsid w:val="00B30B10"/>
    <w:rsid w:val="00B53CCC"/>
    <w:rsid w:val="00B55FE9"/>
    <w:rsid w:val="00B63D45"/>
    <w:rsid w:val="00B66369"/>
    <w:rsid w:val="00B74D78"/>
    <w:rsid w:val="00B77B50"/>
    <w:rsid w:val="00B91093"/>
    <w:rsid w:val="00BC71EB"/>
    <w:rsid w:val="00BD6D2E"/>
    <w:rsid w:val="00BF12A9"/>
    <w:rsid w:val="00BF44A1"/>
    <w:rsid w:val="00C02C9B"/>
    <w:rsid w:val="00C44DAB"/>
    <w:rsid w:val="00C90386"/>
    <w:rsid w:val="00CD4D45"/>
    <w:rsid w:val="00D0670A"/>
    <w:rsid w:val="00D86742"/>
    <w:rsid w:val="00D871F8"/>
    <w:rsid w:val="00DA0537"/>
    <w:rsid w:val="00DB18D8"/>
    <w:rsid w:val="00DD5533"/>
    <w:rsid w:val="00DE127E"/>
    <w:rsid w:val="00E04B8F"/>
    <w:rsid w:val="00E66094"/>
    <w:rsid w:val="00E842D1"/>
    <w:rsid w:val="00E91FE4"/>
    <w:rsid w:val="00E92380"/>
    <w:rsid w:val="00EA5A1E"/>
    <w:rsid w:val="00EC6090"/>
    <w:rsid w:val="00ED7773"/>
    <w:rsid w:val="00EE453C"/>
    <w:rsid w:val="00EF1573"/>
    <w:rsid w:val="00F80A5F"/>
    <w:rsid w:val="00F84768"/>
    <w:rsid w:val="00FD7C78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B9F69"/>
  <w15:chartTrackingRefBased/>
  <w15:docId w15:val="{15C63DE5-EDDA-E446-AD8B-BA1DA80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F55E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F5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5F5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5F55EA"/>
  </w:style>
  <w:style w:type="paragraph" w:styleId="a7">
    <w:name w:val="Plain Text"/>
    <w:basedOn w:val="a0"/>
    <w:rsid w:val="005F55EA"/>
    <w:rPr>
      <w:rFonts w:ascii="細明體" w:eastAsia="細明體" w:hAnsi="細明體"/>
      <w:szCs w:val="20"/>
    </w:rPr>
  </w:style>
  <w:style w:type="paragraph" w:styleId="a8">
    <w:name w:val="Balloon Text"/>
    <w:basedOn w:val="a0"/>
    <w:rsid w:val="005F55EA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227D34"/>
    <w:rPr>
      <w:b/>
      <w:bCs/>
    </w:rPr>
  </w:style>
  <w:style w:type="paragraph" w:styleId="aa">
    <w:name w:val="List Paragraph"/>
    <w:basedOn w:val="a0"/>
    <w:uiPriority w:val="34"/>
    <w:qFormat/>
    <w:rsid w:val="0036029E"/>
    <w:pPr>
      <w:ind w:left="480"/>
    </w:pPr>
  </w:style>
  <w:style w:type="paragraph" w:customStyle="1" w:styleId="a">
    <w:name w:val="(一)"/>
    <w:basedOn w:val="a0"/>
    <w:rsid w:val="0036029E"/>
    <w:pPr>
      <w:numPr>
        <w:numId w:val="2"/>
      </w:numPr>
      <w:suppressAutoHyphens w:val="0"/>
      <w:autoSpaceDN/>
      <w:snapToGrid w:val="0"/>
      <w:spacing w:beforeLines="30" w:line="216" w:lineRule="auto"/>
      <w:textAlignment w:val="auto"/>
    </w:pPr>
    <w:rPr>
      <w:rFonts w:ascii="標楷體" w:eastAsia="標楷體"/>
      <w:kern w:val="2"/>
      <w:sz w:val="26"/>
    </w:rPr>
  </w:style>
  <w:style w:type="paragraph" w:customStyle="1" w:styleId="1">
    <w:name w:val="內文1"/>
    <w:uiPriority w:val="99"/>
    <w:rsid w:val="00217209"/>
    <w:pPr>
      <w:autoSpaceDN w:val="0"/>
    </w:pPr>
    <w:rPr>
      <w:rFonts w:ascii="Calibri" w:hAnsi="Calibri" w:cs="Calibri"/>
    </w:rPr>
  </w:style>
  <w:style w:type="paragraph" w:customStyle="1" w:styleId="Default">
    <w:name w:val="Default"/>
    <w:rsid w:val="00011C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rsid w:val="00820F11"/>
    <w:pPr>
      <w:jc w:val="right"/>
    </w:pPr>
  </w:style>
  <w:style w:type="character" w:customStyle="1" w:styleId="ac">
    <w:name w:val="日期 字元"/>
    <w:link w:val="ab"/>
    <w:uiPriority w:val="99"/>
    <w:semiHidden/>
    <w:rsid w:val="00820F11"/>
    <w:rPr>
      <w:kern w:val="3"/>
      <w:sz w:val="24"/>
      <w:szCs w:val="24"/>
    </w:rPr>
  </w:style>
  <w:style w:type="paragraph" w:styleId="Web">
    <w:name w:val="Normal (Web)"/>
    <w:basedOn w:val="a0"/>
    <w:uiPriority w:val="99"/>
    <w:unhideWhenUsed/>
    <w:rsid w:val="009F15F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Hyperlink"/>
    <w:uiPriority w:val="99"/>
    <w:unhideWhenUsed/>
    <w:rsid w:val="009F15FA"/>
    <w:rPr>
      <w:color w:val="0563C1"/>
      <w:u w:val="single"/>
    </w:rPr>
  </w:style>
  <w:style w:type="character" w:styleId="ae">
    <w:name w:val="FollowedHyperlink"/>
    <w:basedOn w:val="a1"/>
    <w:uiPriority w:val="99"/>
    <w:semiHidden/>
    <w:unhideWhenUsed/>
    <w:rsid w:val="00C44DAB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43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1"/>
    <w:uiPriority w:val="99"/>
    <w:semiHidden/>
    <w:unhideWhenUsed/>
    <w:rsid w:val="00133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3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4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n.com/News.aspx?NewsID=6687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oziliao.net/doc/163653671010630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6A5C-24E1-4902-9E20-7A406787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Links>
    <vt:vector size="12" baseType="variant"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https://www.youtube.com/watch?v=PFnb0aqjCHQ&amp;list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https://www.youtube.com/watch?v=bI0jtdv-c7I&amp;t=27s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hjwu</dc:creator>
  <cp:keywords/>
  <cp:lastModifiedBy>39685</cp:lastModifiedBy>
  <cp:revision>3</cp:revision>
  <cp:lastPrinted>2016-02-20T09:42:00Z</cp:lastPrinted>
  <dcterms:created xsi:type="dcterms:W3CDTF">2025-06-06T06:35:00Z</dcterms:created>
  <dcterms:modified xsi:type="dcterms:W3CDTF">2025-06-09T08:39:00Z</dcterms:modified>
</cp:coreProperties>
</file>